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line="331" w:lineRule="auto"/>
        <w:ind w:left="60" w:firstLine="0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Projet 01 - Compte rendu n°04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5.0" w:type="dxa"/>
        <w:jc w:val="left"/>
        <w:tblInd w:w="8.0" w:type="dxa"/>
        <w:tblLayout w:type="fixed"/>
        <w:tblLook w:val="0600"/>
      </w:tblPr>
      <w:tblGrid>
        <w:gridCol w:w="5730"/>
        <w:gridCol w:w="3295"/>
        <w:tblGridChange w:id="0">
          <w:tblGrid>
            <w:gridCol w:w="5730"/>
            <w:gridCol w:w="329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Motif / type de réunion: Etude d’opportunités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Lieu: IUT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Présent(s) (retard/excusés/non excusés):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31" w:lineRule="auto"/>
              <w:ind w:left="720" w:firstLine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Chef de projet : Jean-Yves Roda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31" w:lineRule="auto"/>
              <w:ind w:left="720" w:firstLine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Secrétaire : Jonas Boulanger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31" w:lineRule="auto"/>
              <w:ind w:left="720" w:firstLine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Animateurs : Kelyan Druez-Philip, David Cossus, Jonatana Andriamasy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331" w:lineRule="auto"/>
              <w:ind w:left="108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 : 9/12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 de début : 13h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 de fin : 14h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Liste de diffusion :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Ordre du jour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Thèmes : Etude d’opportunités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Objectifs : Trouver des utilisateurs potentiels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="331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Discussion sur des idées pouvant rendre attractif notre projet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Sujets échangés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Type :                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In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formation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Re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marque </w:t>
        <w:tab/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Qu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estion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Dé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cision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Ch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oix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7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30"/>
        <w:gridCol w:w="6675"/>
        <w:tblGridChange w:id="0">
          <w:tblGrid>
            <w:gridCol w:w="1560"/>
            <w:gridCol w:w="1530"/>
            <w:gridCol w:w="66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Intervenant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Développement du sujet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shd w:fill="efefef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Risques organisationnels perçus par les employés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Kelyan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 pourrait faire une belle interface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Jonas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Nous allons créer des jeux qui rend l’utilisateur maître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Jonatana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Donc les joueurs pourront créer des modifications sur le jeu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Jean-Yves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Faire des modifications sans pour autant un besoin d’installer quoi que ce soit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Actions à suivre / To do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Statut :               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EC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: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E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n-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C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ours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ab/>
        <w:tab/>
        <w:t xml:space="preserve">ND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: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N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on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D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émarré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095.0" w:type="dxa"/>
        <w:jc w:val="left"/>
        <w:tblLayout w:type="fixed"/>
        <w:tblLook w:val="0600"/>
      </w:tblPr>
      <w:tblGrid>
        <w:gridCol w:w="885"/>
        <w:gridCol w:w="2700"/>
        <w:gridCol w:w="1680"/>
        <w:gridCol w:w="975"/>
        <w:gridCol w:w="900"/>
        <w:gridCol w:w="1125"/>
        <w:gridCol w:w="1830"/>
        <w:tblGridChange w:id="0">
          <w:tblGrid>
            <w:gridCol w:w="885"/>
            <w:gridCol w:w="2700"/>
            <w:gridCol w:w="1680"/>
            <w:gridCol w:w="975"/>
            <w:gridCol w:w="900"/>
            <w:gridCol w:w="1125"/>
            <w:gridCol w:w="1830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Sujet 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b45f06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741b47"/>
                <w:rtl w:val="0"/>
              </w:rPr>
              <w:t xml:space="preserve">Date butoir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Statut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Livrable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Validé par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Documents additionnels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Aucun</w:t>
      </w:r>
    </w:p>
    <w:p w:rsidR="00000000" w:rsidDel="00000000" w:rsidP="00000000" w:rsidRDefault="00000000" w:rsidRPr="00000000">
      <w:pPr>
        <w:spacing w:line="331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360" w:line="331" w:lineRule="auto"/>
        <w:contextualSpacing w:val="0"/>
      </w:pPr>
      <w:bookmarkStart w:colFirst="0" w:colLast="0" w:name="_1t3h5sf" w:id="7"/>
      <w:bookmarkEnd w:id="7"/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Prochaine réunion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40.0" w:type="dxa"/>
        <w:jc w:val="left"/>
        <w:tblInd w:w="8.0" w:type="dxa"/>
        <w:tblLayout w:type="fixed"/>
        <w:tblLook w:val="0600"/>
      </w:tblPr>
      <w:tblGrid>
        <w:gridCol w:w="5740"/>
        <w:gridCol w:w="3300"/>
        <w:tblGridChange w:id="0">
          <w:tblGrid>
            <w:gridCol w:w="5740"/>
            <w:gridCol w:w="3300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Motif / type de réunion: Etude de faisabilité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Lieu: IUT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Personnes convoquées: Tout le groupe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 : 12/12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Heures de début et fin : 17h30-18h30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Ordre du jour : Etude de faisabilité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r w:rsidDel="00000000" w:rsidR="00000000" w:rsidRPr="00000000">
        <w:rPr>
          <w:i w:val="1"/>
          <w:rtl w:val="0"/>
        </w:rPr>
        <w:t xml:space="preserve">En l’absence de remarques, ce CR sera considéré comme approuvé le XX/XX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331" w:lineRule="auto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b w:val="1"/>
        <w:color w:val="0000ff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331" w:lineRule="auto"/>
    </w:pPr>
    <w:rPr>
      <w:rFonts w:ascii="Arial" w:cs="Arial" w:eastAsia="Arial" w:hAnsi="Arial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